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522F6866"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0816C1">
        <w:rPr>
          <w:b/>
          <w:sz w:val="24"/>
        </w:rPr>
        <w:t>O</w:t>
      </w:r>
      <w:r w:rsidR="00002358">
        <w:rPr>
          <w:b/>
          <w:sz w:val="24"/>
        </w:rPr>
        <w:t>range</w:t>
      </w:r>
    </w:p>
    <w:p w14:paraId="34B5CAF3" w14:textId="734AA82C"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002358">
        <w:rPr>
          <w:b/>
          <w:sz w:val="24"/>
        </w:rPr>
        <w:t>Comments</w:t>
      </w:r>
      <w:r w:rsidR="000816C1">
        <w:rPr>
          <w:b/>
          <w:sz w:val="24"/>
        </w:rPr>
        <w:t xml:space="preserve"> on </w:t>
      </w:r>
      <w:r w:rsidR="00A94A9C">
        <w:rPr>
          <w:b/>
          <w:sz w:val="24"/>
        </w:rPr>
        <w:t>ATIAS</w:t>
      </w:r>
    </w:p>
    <w:p w14:paraId="3D37A61E" w14:textId="3223D353" w:rsidR="00D54E12" w:rsidRPr="006D5CB2" w:rsidRDefault="000816C1" w:rsidP="00F218B4">
      <w:pPr>
        <w:pStyle w:val="Titre2"/>
        <w:numPr>
          <w:ilvl w:val="0"/>
          <w:numId w:val="0"/>
        </w:numPr>
        <w:spacing w:line="240" w:lineRule="auto"/>
        <w:ind w:left="576" w:hanging="576"/>
        <w:rPr>
          <w:lang w:val="en-GB"/>
        </w:rPr>
      </w:pPr>
      <w:r>
        <w:rPr>
          <w:lang w:val="en-GB"/>
        </w:rPr>
        <w:t>Document for:</w:t>
      </w:r>
      <w:r>
        <w:rPr>
          <w:lang w:val="en-GB"/>
        </w:rPr>
        <w:tab/>
      </w:r>
      <w:r w:rsidR="002D1880">
        <w:rPr>
          <w:lang w:val="en-GB"/>
        </w:rPr>
        <w:t>Discussion</w:t>
      </w:r>
    </w:p>
    <w:p w14:paraId="1AEC9E93" w14:textId="22509208" w:rsidR="00D54E12" w:rsidRPr="006D5CB2" w:rsidRDefault="00A94A9C" w:rsidP="00F218B4">
      <w:pPr>
        <w:pStyle w:val="Titre2"/>
        <w:numPr>
          <w:ilvl w:val="0"/>
          <w:numId w:val="0"/>
        </w:numPr>
        <w:spacing w:line="240" w:lineRule="auto"/>
        <w:ind w:left="576" w:hanging="576"/>
        <w:rPr>
          <w:lang w:val="en-GB"/>
        </w:rPr>
      </w:pPr>
      <w:r>
        <w:rPr>
          <w:lang w:val="en-GB"/>
        </w:rPr>
        <w:t>Agenda Item:</w:t>
      </w:r>
      <w:r>
        <w:rPr>
          <w:lang w:val="en-GB"/>
        </w:rPr>
        <w:tab/>
      </w:r>
      <w:r w:rsidR="00002358">
        <w:rPr>
          <w:lang w:val="en-GB"/>
        </w:rPr>
        <w:t>7</w:t>
      </w:r>
      <w:r>
        <w:rPr>
          <w:lang w:val="en-GB"/>
        </w:rPr>
        <w:t>.</w:t>
      </w:r>
      <w:r w:rsidR="0091393C">
        <w:rPr>
          <w:lang w:val="en-GB"/>
        </w:rPr>
        <w:t>6</w:t>
      </w:r>
    </w:p>
    <w:p w14:paraId="028C206F" w14:textId="77777777" w:rsidR="00D54E12" w:rsidRDefault="00D54E12" w:rsidP="0038551D">
      <w:pPr>
        <w:pBdr>
          <w:top w:val="single" w:sz="12" w:space="1" w:color="auto"/>
        </w:pBdr>
        <w:spacing w:after="0" w:line="240" w:lineRule="auto"/>
        <w:rPr>
          <w:sz w:val="20"/>
        </w:rPr>
      </w:pPr>
    </w:p>
    <w:p w14:paraId="5205258B" w14:textId="056955CE" w:rsidR="000816C1" w:rsidRDefault="000816C1" w:rsidP="0038551D">
      <w:pPr>
        <w:pBdr>
          <w:top w:val="single" w:sz="12" w:space="1" w:color="auto"/>
        </w:pBdr>
        <w:spacing w:after="0" w:line="240" w:lineRule="auto"/>
        <w:rPr>
          <w:sz w:val="20"/>
        </w:rPr>
      </w:pPr>
    </w:p>
    <w:p w14:paraId="5E435DA5" w14:textId="0880633F" w:rsidR="000816C1" w:rsidRPr="00F218B4" w:rsidRDefault="000816C1" w:rsidP="00F218B4">
      <w:pPr>
        <w:pStyle w:val="Titre1"/>
        <w:rPr>
          <w:b/>
          <w:szCs w:val="24"/>
        </w:rPr>
      </w:pPr>
      <w:r w:rsidRPr="00F218B4">
        <w:rPr>
          <w:b/>
        </w:rPr>
        <w:t>Introduction</w:t>
      </w:r>
    </w:p>
    <w:p w14:paraId="7D6284E4" w14:textId="797880A2" w:rsidR="00DF137C" w:rsidRDefault="000816C1" w:rsidP="00EF6D2E">
      <w:pPr>
        <w:rPr>
          <w:rFonts w:eastAsia="Times New Roman" w:cs="Arial"/>
          <w:sz w:val="24"/>
          <w:szCs w:val="24"/>
        </w:rPr>
      </w:pPr>
      <w:r>
        <w:rPr>
          <w:rFonts w:eastAsia="Times New Roman" w:cs="Arial"/>
          <w:sz w:val="24"/>
          <w:szCs w:val="24"/>
          <w:lang w:val="en-US"/>
        </w:rPr>
        <w:t xml:space="preserve">This contribution </w:t>
      </w:r>
      <w:r w:rsidR="00A94A9C">
        <w:rPr>
          <w:rFonts w:eastAsia="Times New Roman" w:cs="Arial"/>
          <w:sz w:val="24"/>
          <w:szCs w:val="24"/>
          <w:lang w:val="en-US"/>
        </w:rPr>
        <w:t xml:space="preserve">aims at triggering </w:t>
      </w:r>
      <w:r w:rsidR="00286CB3">
        <w:rPr>
          <w:rFonts w:eastAsia="Times New Roman" w:cs="Arial"/>
          <w:sz w:val="24"/>
          <w:szCs w:val="24"/>
          <w:lang w:val="en-US"/>
        </w:rPr>
        <w:t xml:space="preserve">some discussion to </w:t>
      </w:r>
      <w:r w:rsidR="009E7C0B">
        <w:rPr>
          <w:rFonts w:eastAsia="Times New Roman" w:cs="Arial"/>
          <w:sz w:val="24"/>
          <w:szCs w:val="24"/>
          <w:lang w:val="en-US"/>
        </w:rPr>
        <w:t>prepare the</w:t>
      </w:r>
      <w:r w:rsidR="00286CB3">
        <w:rPr>
          <w:rFonts w:eastAsia="Times New Roman" w:cs="Arial"/>
          <w:sz w:val="24"/>
          <w:szCs w:val="24"/>
          <w:lang w:val="en-US"/>
        </w:rPr>
        <w:t xml:space="preserve"> finaliz</w:t>
      </w:r>
      <w:r w:rsidR="009E7C0B">
        <w:rPr>
          <w:rFonts w:eastAsia="Times New Roman" w:cs="Arial"/>
          <w:sz w:val="24"/>
          <w:szCs w:val="24"/>
          <w:lang w:val="en-US"/>
        </w:rPr>
        <w:t>ation of the</w:t>
      </w:r>
      <w:r w:rsidR="00286CB3">
        <w:rPr>
          <w:rFonts w:eastAsia="Times New Roman" w:cs="Arial"/>
          <w:sz w:val="24"/>
          <w:szCs w:val="24"/>
          <w:lang w:val="en-US"/>
        </w:rPr>
        <w:t xml:space="preserve"> ATIAS</w:t>
      </w:r>
      <w:r w:rsidR="009E7C0B">
        <w:rPr>
          <w:rFonts w:eastAsia="Times New Roman" w:cs="Arial"/>
          <w:sz w:val="24"/>
          <w:szCs w:val="24"/>
          <w:lang w:val="en-US"/>
        </w:rPr>
        <w:t xml:space="preserve"> work item</w:t>
      </w:r>
      <w:r w:rsidR="00286CB3">
        <w:rPr>
          <w:rFonts w:eastAsia="Times New Roman" w:cs="Arial"/>
          <w:sz w:val="24"/>
          <w:szCs w:val="24"/>
          <w:lang w:val="en-US"/>
        </w:rPr>
        <w:t xml:space="preserve">. </w:t>
      </w:r>
      <w:r w:rsidR="00DF137C">
        <w:rPr>
          <w:rFonts w:eastAsia="Times New Roman" w:cs="Arial"/>
          <w:sz w:val="24"/>
          <w:szCs w:val="24"/>
          <w:lang w:val="en-US"/>
        </w:rPr>
        <w:t xml:space="preserve">According to [1], </w:t>
      </w:r>
      <w:r w:rsidR="00DF137C">
        <w:rPr>
          <w:rFonts w:eastAsia="Times New Roman" w:cs="Arial"/>
          <w:sz w:val="24"/>
          <w:szCs w:val="24"/>
        </w:rPr>
        <w:t>ATIAS will produce a new specification in TS 26.259 (requirements) and an update of TS 26.260 (test methods). Ideally preliminary</w:t>
      </w:r>
      <w:r w:rsidR="00C53AFB">
        <w:rPr>
          <w:rFonts w:eastAsia="Times New Roman" w:cs="Arial"/>
          <w:sz w:val="24"/>
          <w:szCs w:val="24"/>
        </w:rPr>
        <w:t xml:space="preserve"> </w:t>
      </w:r>
      <w:r w:rsidR="008C433C">
        <w:rPr>
          <w:rFonts w:eastAsia="Times New Roman" w:cs="Arial"/>
          <w:sz w:val="24"/>
          <w:szCs w:val="24"/>
        </w:rPr>
        <w:t xml:space="preserve">drafting of </w:t>
      </w:r>
      <w:r w:rsidR="00DF137C">
        <w:rPr>
          <w:rFonts w:eastAsia="Times New Roman" w:cs="Arial"/>
          <w:sz w:val="24"/>
          <w:szCs w:val="24"/>
        </w:rPr>
        <w:t xml:space="preserve">these outputs should be </w:t>
      </w:r>
      <w:r w:rsidR="008C433C">
        <w:rPr>
          <w:rFonts w:eastAsia="Times New Roman" w:cs="Arial"/>
          <w:sz w:val="24"/>
          <w:szCs w:val="24"/>
        </w:rPr>
        <w:t>initiated</w:t>
      </w:r>
      <w:r w:rsidR="00DF137C">
        <w:rPr>
          <w:rFonts w:eastAsia="Times New Roman" w:cs="Arial"/>
          <w:sz w:val="24"/>
          <w:szCs w:val="24"/>
        </w:rPr>
        <w:t xml:space="preserve"> at SA4#126.</w:t>
      </w:r>
    </w:p>
    <w:p w14:paraId="77F70E3A" w14:textId="533E20E9" w:rsidR="00EF6D2E" w:rsidRDefault="00DF137C" w:rsidP="00EF6D2E">
      <w:pPr>
        <w:rPr>
          <w:rFonts w:eastAsia="Times New Roman" w:cs="Arial"/>
          <w:sz w:val="24"/>
          <w:szCs w:val="24"/>
          <w:lang w:val="en-US"/>
        </w:rPr>
      </w:pPr>
      <w:r>
        <w:rPr>
          <w:rFonts w:eastAsia="Times New Roman" w:cs="Arial"/>
          <w:sz w:val="24"/>
          <w:szCs w:val="24"/>
          <w:lang w:val="en-US"/>
        </w:rPr>
        <w:t>This contribution</w:t>
      </w:r>
      <w:r w:rsidR="00286CB3">
        <w:rPr>
          <w:rFonts w:eastAsia="Times New Roman" w:cs="Arial"/>
          <w:sz w:val="24"/>
          <w:szCs w:val="24"/>
          <w:lang w:val="en-US"/>
        </w:rPr>
        <w:t xml:space="preserve"> also brings some </w:t>
      </w:r>
      <w:r w:rsidR="006B0253">
        <w:rPr>
          <w:rFonts w:eastAsia="Times New Roman" w:cs="Arial"/>
          <w:sz w:val="24"/>
          <w:szCs w:val="24"/>
          <w:lang w:val="en-US"/>
        </w:rPr>
        <w:t>considerations</w:t>
      </w:r>
      <w:r w:rsidR="00286CB3">
        <w:rPr>
          <w:rFonts w:eastAsia="Times New Roman" w:cs="Arial"/>
          <w:sz w:val="24"/>
          <w:szCs w:val="24"/>
          <w:lang w:val="en-US"/>
        </w:rPr>
        <w:t xml:space="preserve"> on </w:t>
      </w:r>
      <w:r w:rsidR="006B0253">
        <w:rPr>
          <w:rFonts w:eastAsia="Times New Roman" w:cs="Arial"/>
          <w:sz w:val="24"/>
          <w:szCs w:val="24"/>
          <w:lang w:val="en-US"/>
        </w:rPr>
        <w:t>binaural rendering tests</w:t>
      </w:r>
      <w:r w:rsidR="00286CB3">
        <w:rPr>
          <w:rFonts w:eastAsia="Times New Roman" w:cs="Arial"/>
          <w:sz w:val="24"/>
          <w:szCs w:val="24"/>
          <w:lang w:val="en-US"/>
        </w:rPr>
        <w:t>.</w:t>
      </w:r>
    </w:p>
    <w:p w14:paraId="275A7381" w14:textId="77777777" w:rsidR="00A94A9C" w:rsidRDefault="00A94A9C" w:rsidP="00EF6D2E">
      <w:pPr>
        <w:rPr>
          <w:rFonts w:eastAsia="Times New Roman" w:cs="Arial"/>
          <w:sz w:val="24"/>
          <w:szCs w:val="24"/>
          <w:lang w:val="en-US"/>
        </w:rPr>
      </w:pPr>
    </w:p>
    <w:p w14:paraId="5B97A6EC" w14:textId="17F069C9" w:rsidR="00A94A9C" w:rsidRPr="00F218B4" w:rsidRDefault="00002358" w:rsidP="00F218B4">
      <w:pPr>
        <w:pStyle w:val="Titre1"/>
        <w:rPr>
          <w:b/>
        </w:rPr>
      </w:pPr>
      <w:r>
        <w:rPr>
          <w:b/>
        </w:rPr>
        <w:t>Codec operation and</w:t>
      </w:r>
      <w:r w:rsidR="00A63DAF">
        <w:rPr>
          <w:b/>
        </w:rPr>
        <w:t xml:space="preserve"> structure of</w:t>
      </w:r>
      <w:r>
        <w:rPr>
          <w:b/>
        </w:rPr>
        <w:t xml:space="preserve"> </w:t>
      </w:r>
      <w:r w:rsidR="00A63DAF">
        <w:rPr>
          <w:b/>
        </w:rPr>
        <w:t>requirements</w:t>
      </w:r>
    </w:p>
    <w:p w14:paraId="616AB079" w14:textId="4AC64489" w:rsidR="00A94A9C" w:rsidRDefault="00700006" w:rsidP="00EF6D2E">
      <w:pPr>
        <w:rPr>
          <w:rFonts w:eastAsia="Times New Roman" w:cs="Arial"/>
          <w:sz w:val="24"/>
          <w:szCs w:val="24"/>
          <w:lang w:val="en-US"/>
        </w:rPr>
      </w:pPr>
      <w:r>
        <w:rPr>
          <w:rFonts w:eastAsia="Times New Roman" w:cs="Arial"/>
          <w:sz w:val="24"/>
          <w:szCs w:val="24"/>
          <w:lang w:val="en-US"/>
        </w:rPr>
        <w:t>The ATIAS work item depends on the features supported by IVAS</w:t>
      </w:r>
      <w:r w:rsidR="00DF137C">
        <w:rPr>
          <w:rFonts w:eastAsia="Times New Roman" w:cs="Arial"/>
          <w:sz w:val="24"/>
          <w:szCs w:val="24"/>
          <w:lang w:val="en-US"/>
        </w:rPr>
        <w:t>. O</w:t>
      </w:r>
      <w:r w:rsidR="00F218B4">
        <w:rPr>
          <w:rFonts w:eastAsia="Times New Roman" w:cs="Arial"/>
          <w:sz w:val="24"/>
          <w:szCs w:val="24"/>
          <w:lang w:val="en-US"/>
        </w:rPr>
        <w:t xml:space="preserve">ne may note that </w:t>
      </w:r>
      <w:r w:rsidR="00A94A9C">
        <w:rPr>
          <w:rFonts w:eastAsia="Times New Roman" w:cs="Arial"/>
          <w:sz w:val="24"/>
          <w:szCs w:val="24"/>
          <w:lang w:val="en-US"/>
        </w:rPr>
        <w:t xml:space="preserve">mono operation </w:t>
      </w:r>
      <w:r w:rsidR="00F218B4">
        <w:rPr>
          <w:rFonts w:eastAsia="Times New Roman" w:cs="Arial"/>
          <w:sz w:val="24"/>
          <w:szCs w:val="24"/>
          <w:lang w:val="en-US"/>
        </w:rPr>
        <w:t>is already covered</w:t>
      </w:r>
      <w:r w:rsidR="00A94A9C">
        <w:rPr>
          <w:rFonts w:eastAsia="Times New Roman" w:cs="Arial"/>
          <w:sz w:val="24"/>
          <w:szCs w:val="24"/>
          <w:lang w:val="en-US"/>
        </w:rPr>
        <w:t xml:space="preserve"> </w:t>
      </w:r>
      <w:r w:rsidR="00F218B4">
        <w:rPr>
          <w:rFonts w:eastAsia="Times New Roman" w:cs="Arial"/>
          <w:sz w:val="24"/>
          <w:szCs w:val="24"/>
          <w:lang w:val="en-US"/>
        </w:rPr>
        <w:t>by</w:t>
      </w:r>
      <w:r w:rsidR="00A94A9C">
        <w:rPr>
          <w:rFonts w:eastAsia="Times New Roman" w:cs="Arial"/>
          <w:sz w:val="24"/>
          <w:szCs w:val="24"/>
          <w:lang w:val="en-US"/>
        </w:rPr>
        <w:t xml:space="preserve"> </w:t>
      </w:r>
      <w:r>
        <w:rPr>
          <w:rFonts w:eastAsia="Times New Roman" w:cs="Arial"/>
          <w:sz w:val="24"/>
          <w:szCs w:val="24"/>
          <w:lang w:val="en-US"/>
        </w:rPr>
        <w:t xml:space="preserve">3GPP </w:t>
      </w:r>
      <w:r w:rsidR="00A94A9C">
        <w:rPr>
          <w:rFonts w:eastAsia="Times New Roman" w:cs="Arial"/>
          <w:sz w:val="24"/>
          <w:szCs w:val="24"/>
          <w:lang w:val="en-US"/>
        </w:rPr>
        <w:t>TS 26.131 and 26.132</w:t>
      </w:r>
      <w:r w:rsidR="00002358">
        <w:rPr>
          <w:rFonts w:eastAsia="Times New Roman" w:cs="Arial"/>
          <w:sz w:val="24"/>
          <w:szCs w:val="24"/>
          <w:lang w:val="en-US"/>
        </w:rPr>
        <w:t xml:space="preserve"> and this should be made explicit</w:t>
      </w:r>
      <w:r w:rsidR="00A94A9C">
        <w:rPr>
          <w:rFonts w:eastAsia="Times New Roman" w:cs="Arial"/>
          <w:sz w:val="24"/>
          <w:szCs w:val="24"/>
          <w:lang w:val="en-US"/>
        </w:rPr>
        <w:t>.</w:t>
      </w:r>
      <w:r w:rsidR="00002358">
        <w:rPr>
          <w:rFonts w:eastAsia="Times New Roman" w:cs="Arial"/>
          <w:sz w:val="24"/>
          <w:szCs w:val="24"/>
          <w:lang w:val="en-US"/>
        </w:rPr>
        <w:t xml:space="preserve"> </w:t>
      </w:r>
      <w:r w:rsidR="00F218B4">
        <w:rPr>
          <w:rFonts w:eastAsia="Times New Roman" w:cs="Arial"/>
          <w:sz w:val="24"/>
          <w:szCs w:val="24"/>
          <w:lang w:val="en-US"/>
        </w:rPr>
        <w:t>Furthermore,</w:t>
      </w:r>
      <w:r w:rsidR="00A94A9C">
        <w:rPr>
          <w:rFonts w:eastAsia="Times New Roman" w:cs="Arial"/>
          <w:sz w:val="24"/>
          <w:szCs w:val="24"/>
          <w:lang w:val="en-US"/>
        </w:rPr>
        <w:t xml:space="preserve"> stereo operation is in the scope of</w:t>
      </w:r>
      <w:r w:rsidR="00002358">
        <w:rPr>
          <w:rFonts w:eastAsia="Times New Roman" w:cs="Arial"/>
          <w:sz w:val="24"/>
          <w:szCs w:val="24"/>
          <w:lang w:val="en-US"/>
        </w:rPr>
        <w:t xml:space="preserve"> TS 26.131 and 26.132</w:t>
      </w:r>
      <w:r w:rsidR="00A94A9C">
        <w:rPr>
          <w:rFonts w:eastAsia="Times New Roman" w:cs="Arial"/>
          <w:sz w:val="24"/>
          <w:szCs w:val="24"/>
          <w:lang w:val="en-US"/>
        </w:rPr>
        <w:t>, however the following note was inserted in Rel-12</w:t>
      </w:r>
      <w:r w:rsidR="00002358">
        <w:rPr>
          <w:rFonts w:eastAsia="Times New Roman" w:cs="Arial"/>
          <w:sz w:val="24"/>
          <w:szCs w:val="24"/>
          <w:lang w:val="en-US"/>
        </w:rPr>
        <w:t xml:space="preserve"> of both specifications</w:t>
      </w:r>
      <w:r w:rsidR="00A94A9C">
        <w:rPr>
          <w:rFonts w:eastAsia="Times New Roman" w:cs="Arial"/>
          <w:sz w:val="24"/>
          <w:szCs w:val="24"/>
          <w:lang w:val="en-US"/>
        </w:rPr>
        <w:t>:</w:t>
      </w:r>
    </w:p>
    <w:p w14:paraId="5118356E" w14:textId="5EE45D83" w:rsidR="00A94A9C" w:rsidRPr="00700006" w:rsidRDefault="00A94A9C" w:rsidP="00A94A9C">
      <w:pPr>
        <w:pStyle w:val="Paragraphedeliste"/>
        <w:numPr>
          <w:ilvl w:val="0"/>
          <w:numId w:val="19"/>
        </w:numPr>
        <w:rPr>
          <w:rFonts w:eastAsia="Times New Roman" w:cs="Arial"/>
        </w:rPr>
      </w:pPr>
      <w:r w:rsidRPr="006922BC">
        <w:rPr>
          <w:color w:val="000000"/>
        </w:rPr>
        <w:t>The interfaces are shown for one-channel (mono) operation</w:t>
      </w:r>
      <w:r>
        <w:rPr>
          <w:color w:val="000000"/>
        </w:rPr>
        <w:t xml:space="preserve">, interfaces for </w:t>
      </w:r>
      <w:r w:rsidRPr="006922BC">
        <w:rPr>
          <w:color w:val="000000"/>
        </w:rPr>
        <w:t>two-channel (stereo) operation</w:t>
      </w:r>
      <w:r w:rsidR="00700006">
        <w:rPr>
          <w:color w:val="000000"/>
        </w:rPr>
        <w:t xml:space="preserve"> is for further study (</w:t>
      </w:r>
      <w:r w:rsidR="00700006">
        <w:rPr>
          <w:rFonts w:eastAsia="Times New Roman" w:cs="Arial"/>
        </w:rPr>
        <w:t xml:space="preserve">see </w:t>
      </w:r>
      <w:r w:rsidR="00700006" w:rsidRPr="00700006">
        <w:rPr>
          <w:rFonts w:eastAsia="Times New Roman" w:cs="Arial"/>
        </w:rPr>
        <w:t>clause 4 of TS 26.131</w:t>
      </w:r>
      <w:r w:rsidR="00700006" w:rsidRPr="00700006">
        <w:rPr>
          <w:color w:val="000000"/>
        </w:rPr>
        <w:t>)</w:t>
      </w:r>
    </w:p>
    <w:p w14:paraId="0EB204B7" w14:textId="042B0218" w:rsidR="00700006" w:rsidRPr="00700006" w:rsidRDefault="00700006" w:rsidP="00700006">
      <w:pPr>
        <w:pStyle w:val="Paragraphedeliste"/>
        <w:numPr>
          <w:ilvl w:val="0"/>
          <w:numId w:val="19"/>
        </w:numPr>
      </w:pPr>
      <w:r w:rsidRPr="00700006">
        <w:rPr>
          <w:color w:val="000000"/>
        </w:rPr>
        <w:t>The configurations are shown for one-channel (mono) operation, configurations for two-channel (stereo) operation is for further study</w:t>
      </w:r>
      <w:r>
        <w:rPr>
          <w:color w:val="000000"/>
        </w:rPr>
        <w:t xml:space="preserve"> (see clause 5 of TS 26.132)</w:t>
      </w:r>
    </w:p>
    <w:p w14:paraId="73BBFF28" w14:textId="7194FCFC" w:rsidR="00002358" w:rsidRDefault="00002358" w:rsidP="00EF6D2E">
      <w:pPr>
        <w:rPr>
          <w:rFonts w:eastAsia="Times New Roman" w:cs="Arial"/>
          <w:sz w:val="24"/>
          <w:szCs w:val="24"/>
        </w:rPr>
      </w:pPr>
      <w:r>
        <w:rPr>
          <w:rFonts w:eastAsia="Times New Roman" w:cs="Arial"/>
          <w:sz w:val="24"/>
          <w:szCs w:val="24"/>
        </w:rPr>
        <w:t xml:space="preserve">Based on the outcome of ATIAS, this </w:t>
      </w:r>
      <w:r w:rsidR="00DF137C">
        <w:rPr>
          <w:rFonts w:eastAsia="Times New Roman" w:cs="Arial"/>
          <w:sz w:val="24"/>
          <w:szCs w:val="24"/>
        </w:rPr>
        <w:t xml:space="preserve">existing </w:t>
      </w:r>
      <w:r>
        <w:rPr>
          <w:rFonts w:eastAsia="Times New Roman" w:cs="Arial"/>
          <w:sz w:val="24"/>
          <w:szCs w:val="24"/>
        </w:rPr>
        <w:t>text should be updated in these specifications.</w:t>
      </w:r>
    </w:p>
    <w:p w14:paraId="26193C90" w14:textId="77777777" w:rsidR="00AB5A96" w:rsidRDefault="00002358" w:rsidP="00002358">
      <w:pPr>
        <w:rPr>
          <w:rFonts w:eastAsia="Times New Roman" w:cs="Arial"/>
          <w:sz w:val="24"/>
          <w:szCs w:val="24"/>
          <w:lang w:val="en-US"/>
        </w:rPr>
      </w:pPr>
      <w:r>
        <w:rPr>
          <w:rFonts w:eastAsia="Times New Roman" w:cs="Arial"/>
          <w:sz w:val="24"/>
          <w:szCs w:val="24"/>
          <w:lang w:val="en-US"/>
        </w:rPr>
        <w:t>One question for ATIAS to discuss is whether all combinations (input/output formats, acoustic and electrical interfaces…)</w:t>
      </w:r>
      <w:r w:rsidR="004D36EF">
        <w:rPr>
          <w:rFonts w:eastAsia="Times New Roman" w:cs="Arial"/>
          <w:sz w:val="24"/>
          <w:szCs w:val="24"/>
          <w:lang w:val="en-US"/>
        </w:rPr>
        <w:t xml:space="preserve"> should be tested and if TS 26.259 can be organized in a practical way to match typical terminal tests</w:t>
      </w:r>
      <w:r w:rsidR="00AB5A96">
        <w:rPr>
          <w:rFonts w:eastAsia="Times New Roman" w:cs="Arial"/>
          <w:sz w:val="24"/>
          <w:szCs w:val="24"/>
          <w:lang w:val="en-US"/>
        </w:rPr>
        <w:t>.</w:t>
      </w:r>
    </w:p>
    <w:p w14:paraId="0FF1158F" w14:textId="07F9B569" w:rsidR="00DF137C" w:rsidRDefault="00002358" w:rsidP="00002358">
      <w:pPr>
        <w:rPr>
          <w:rFonts w:eastAsia="Times New Roman" w:cs="Arial"/>
          <w:sz w:val="24"/>
          <w:szCs w:val="24"/>
          <w:lang w:val="en-US"/>
        </w:rPr>
      </w:pPr>
      <w:r>
        <w:rPr>
          <w:rFonts w:eastAsia="Times New Roman" w:cs="Arial"/>
          <w:sz w:val="24"/>
          <w:szCs w:val="24"/>
          <w:lang w:val="en-US"/>
        </w:rPr>
        <w:t>There are dependencies on the IVAS RTP payload format</w:t>
      </w:r>
      <w:r w:rsidR="00DF137C">
        <w:rPr>
          <w:rFonts w:eastAsia="Times New Roman" w:cs="Arial"/>
          <w:sz w:val="24"/>
          <w:szCs w:val="24"/>
          <w:lang w:val="en-US"/>
        </w:rPr>
        <w:t>. For instance, it is not yet clear whether a selected input format can be forced at the call setup</w:t>
      </w:r>
      <w:r>
        <w:rPr>
          <w:rFonts w:eastAsia="Times New Roman" w:cs="Arial"/>
          <w:sz w:val="24"/>
          <w:szCs w:val="24"/>
          <w:lang w:val="en-US"/>
        </w:rPr>
        <w:t>.</w:t>
      </w:r>
      <w:r w:rsidR="00AB5A96">
        <w:rPr>
          <w:rFonts w:eastAsia="Times New Roman" w:cs="Arial"/>
          <w:sz w:val="24"/>
          <w:szCs w:val="24"/>
          <w:lang w:val="en-US"/>
        </w:rPr>
        <w:t xml:space="preserve"> Furthermore, s</w:t>
      </w:r>
      <w:r w:rsidR="00DF137C">
        <w:rPr>
          <w:rFonts w:eastAsia="Times New Roman" w:cs="Arial"/>
          <w:sz w:val="24"/>
          <w:szCs w:val="24"/>
          <w:lang w:val="en-US"/>
        </w:rPr>
        <w:t>ome technical characterization of IVAS may be missing to complete the definition of requirements, therefore one may anticipate that at least some requirements may have to be kept in brackets until characterization is completed.</w:t>
      </w:r>
    </w:p>
    <w:p w14:paraId="6E3B053D" w14:textId="73DFC962" w:rsidR="00002358" w:rsidRDefault="00002358" w:rsidP="00002358">
      <w:pPr>
        <w:rPr>
          <w:rFonts w:eastAsia="Times New Roman" w:cs="Arial"/>
          <w:sz w:val="24"/>
          <w:szCs w:val="24"/>
          <w:lang w:val="en-US"/>
        </w:rPr>
      </w:pPr>
      <w:r>
        <w:rPr>
          <w:rFonts w:eastAsia="Times New Roman" w:cs="Arial"/>
          <w:sz w:val="24"/>
          <w:szCs w:val="24"/>
          <w:lang w:val="en-US"/>
        </w:rPr>
        <w:t>One should discuss the most reasonable way to organize requirements and revisit the structure of TS 26.259</w:t>
      </w:r>
      <w:r w:rsidR="00DF137C">
        <w:rPr>
          <w:rFonts w:eastAsia="Times New Roman" w:cs="Arial"/>
          <w:sz w:val="24"/>
          <w:szCs w:val="24"/>
          <w:lang w:val="en-US"/>
        </w:rPr>
        <w:t>. TS 26.131 is organized by bandwidths and test cases with further divisions by interfaces. TS 26.259 should be organized to facilitate terminal testing</w:t>
      </w:r>
      <w:r w:rsidR="00AD71D1">
        <w:rPr>
          <w:rFonts w:eastAsia="Times New Roman" w:cs="Arial"/>
          <w:sz w:val="24"/>
          <w:szCs w:val="24"/>
          <w:lang w:val="en-US"/>
        </w:rPr>
        <w:t xml:space="preserve"> and usage by </w:t>
      </w:r>
      <w:r w:rsidR="00D62E70">
        <w:rPr>
          <w:rFonts w:eastAsia="Times New Roman" w:cs="Arial"/>
          <w:sz w:val="24"/>
          <w:szCs w:val="24"/>
          <w:lang w:val="en-US"/>
        </w:rPr>
        <w:t>“</w:t>
      </w:r>
      <w:r w:rsidR="00AD71D1">
        <w:rPr>
          <w:rFonts w:eastAsia="Times New Roman" w:cs="Arial"/>
          <w:sz w:val="24"/>
          <w:szCs w:val="24"/>
          <w:lang w:val="en-US"/>
        </w:rPr>
        <w:t>external</w:t>
      </w:r>
      <w:r w:rsidR="00D62E70">
        <w:rPr>
          <w:rFonts w:eastAsia="Times New Roman" w:cs="Arial"/>
          <w:sz w:val="24"/>
          <w:szCs w:val="24"/>
          <w:lang w:val="en-US"/>
        </w:rPr>
        <w:t>”</w:t>
      </w:r>
      <w:r w:rsidR="00AD71D1">
        <w:rPr>
          <w:rFonts w:eastAsia="Times New Roman" w:cs="Arial"/>
          <w:sz w:val="24"/>
          <w:szCs w:val="24"/>
          <w:lang w:val="en-US"/>
        </w:rPr>
        <w:t xml:space="preserve"> test specifications</w:t>
      </w:r>
      <w:r w:rsidR="00DF137C">
        <w:rPr>
          <w:rFonts w:eastAsia="Times New Roman" w:cs="Arial"/>
          <w:sz w:val="24"/>
          <w:szCs w:val="24"/>
          <w:lang w:val="en-US"/>
        </w:rPr>
        <w:t>.</w:t>
      </w:r>
    </w:p>
    <w:p w14:paraId="1AD8A451" w14:textId="23870AD2" w:rsidR="00F218B4" w:rsidRPr="00DF137C" w:rsidRDefault="00F218B4" w:rsidP="00EF6D2E">
      <w:pPr>
        <w:rPr>
          <w:rFonts w:eastAsia="Times New Roman" w:cs="Arial"/>
          <w:sz w:val="24"/>
          <w:szCs w:val="24"/>
          <w:lang w:val="en-US"/>
        </w:rPr>
      </w:pPr>
    </w:p>
    <w:p w14:paraId="562687A7" w14:textId="3A762079" w:rsidR="00F218B4" w:rsidRPr="00002358" w:rsidRDefault="00F218B4" w:rsidP="00002358">
      <w:pPr>
        <w:pStyle w:val="Titre1"/>
        <w:rPr>
          <w:b/>
        </w:rPr>
      </w:pPr>
      <w:r w:rsidRPr="00002358">
        <w:rPr>
          <w:b/>
        </w:rPr>
        <w:t>Extension of 3GPP TS 26.260</w:t>
      </w:r>
    </w:p>
    <w:p w14:paraId="55656290" w14:textId="01DB364F" w:rsidR="00F218B4" w:rsidRDefault="00002358" w:rsidP="00EF6D2E">
      <w:pPr>
        <w:rPr>
          <w:rFonts w:eastAsia="Times New Roman" w:cs="Arial"/>
          <w:sz w:val="24"/>
          <w:szCs w:val="24"/>
        </w:rPr>
      </w:pPr>
      <w:r>
        <w:rPr>
          <w:rFonts w:eastAsia="Times New Roman" w:cs="Arial"/>
          <w:sz w:val="24"/>
          <w:szCs w:val="24"/>
        </w:rPr>
        <w:t xml:space="preserve">SA4 will </w:t>
      </w:r>
      <w:r w:rsidR="00F14B90">
        <w:rPr>
          <w:rFonts w:eastAsia="Times New Roman" w:cs="Arial"/>
          <w:sz w:val="24"/>
          <w:szCs w:val="24"/>
        </w:rPr>
        <w:t>soon</w:t>
      </w:r>
      <w:r>
        <w:rPr>
          <w:rFonts w:eastAsia="Times New Roman" w:cs="Arial"/>
          <w:sz w:val="24"/>
          <w:szCs w:val="24"/>
        </w:rPr>
        <w:t xml:space="preserve"> consider the transfer of candidate requirements and test methods in [</w:t>
      </w:r>
      <w:r w:rsidR="009E7C0B">
        <w:rPr>
          <w:rFonts w:eastAsia="Times New Roman" w:cs="Arial"/>
          <w:sz w:val="24"/>
          <w:szCs w:val="24"/>
        </w:rPr>
        <w:t>2</w:t>
      </w:r>
      <w:r>
        <w:rPr>
          <w:rFonts w:eastAsia="Times New Roman" w:cs="Arial"/>
          <w:sz w:val="24"/>
          <w:szCs w:val="24"/>
        </w:rPr>
        <w:t xml:space="preserve">]  into output </w:t>
      </w:r>
      <w:r w:rsidR="002A453C">
        <w:rPr>
          <w:rFonts w:eastAsia="Times New Roman" w:cs="Arial"/>
          <w:sz w:val="24"/>
          <w:szCs w:val="24"/>
        </w:rPr>
        <w:t xml:space="preserve">ATIAS </w:t>
      </w:r>
      <w:r>
        <w:rPr>
          <w:rFonts w:eastAsia="Times New Roman" w:cs="Arial"/>
          <w:sz w:val="24"/>
          <w:szCs w:val="24"/>
        </w:rPr>
        <w:t>specifications.</w:t>
      </w:r>
      <w:r w:rsidR="009F7382">
        <w:rPr>
          <w:rFonts w:eastAsia="Times New Roman" w:cs="Arial"/>
          <w:sz w:val="24"/>
          <w:szCs w:val="24"/>
        </w:rPr>
        <w:t xml:space="preserve"> </w:t>
      </w:r>
      <w:r>
        <w:rPr>
          <w:rFonts w:eastAsia="Times New Roman" w:cs="Arial"/>
          <w:sz w:val="24"/>
          <w:szCs w:val="24"/>
        </w:rPr>
        <w:t>Given the existing structure and content of TS 26.260 one should discuss how to exten</w:t>
      </w:r>
      <w:r w:rsidR="009E7C0B">
        <w:rPr>
          <w:rFonts w:eastAsia="Times New Roman" w:cs="Arial"/>
          <w:sz w:val="24"/>
          <w:szCs w:val="24"/>
        </w:rPr>
        <w:t xml:space="preserve">d </w:t>
      </w:r>
      <w:r>
        <w:rPr>
          <w:rFonts w:eastAsia="Times New Roman" w:cs="Arial"/>
          <w:sz w:val="24"/>
          <w:szCs w:val="24"/>
        </w:rPr>
        <w:t xml:space="preserve">TS 26.260 </w:t>
      </w:r>
      <w:r w:rsidR="009E7C0B">
        <w:rPr>
          <w:rFonts w:eastAsia="Times New Roman" w:cs="Arial"/>
          <w:sz w:val="24"/>
          <w:szCs w:val="24"/>
        </w:rPr>
        <w:t>with test methods derived from</w:t>
      </w:r>
      <w:r>
        <w:rPr>
          <w:rFonts w:eastAsia="Times New Roman" w:cs="Arial"/>
          <w:sz w:val="24"/>
          <w:szCs w:val="24"/>
        </w:rPr>
        <w:t xml:space="preserve"> [</w:t>
      </w:r>
      <w:r w:rsidR="009E7C0B">
        <w:rPr>
          <w:rFonts w:eastAsia="Times New Roman" w:cs="Arial"/>
          <w:sz w:val="24"/>
          <w:szCs w:val="24"/>
        </w:rPr>
        <w:t>2</w:t>
      </w:r>
      <w:r>
        <w:rPr>
          <w:rFonts w:eastAsia="Times New Roman" w:cs="Arial"/>
          <w:sz w:val="24"/>
          <w:szCs w:val="24"/>
        </w:rPr>
        <w:t>].</w:t>
      </w:r>
    </w:p>
    <w:p w14:paraId="13C514E0" w14:textId="5B273BA7" w:rsidR="00DF137C" w:rsidRDefault="00DF137C" w:rsidP="00DF137C">
      <w:pPr>
        <w:rPr>
          <w:rFonts w:eastAsia="Times New Roman" w:cs="Arial"/>
          <w:sz w:val="24"/>
          <w:szCs w:val="24"/>
          <w:lang w:val="en-US"/>
        </w:rPr>
      </w:pPr>
      <w:r>
        <w:rPr>
          <w:rFonts w:eastAsia="Times New Roman" w:cs="Arial"/>
          <w:sz w:val="24"/>
          <w:szCs w:val="24"/>
        </w:rPr>
        <w:t xml:space="preserve">Note that </w:t>
      </w:r>
      <w:r>
        <w:rPr>
          <w:rFonts w:eastAsia="Times New Roman" w:cs="Arial"/>
          <w:sz w:val="24"/>
          <w:szCs w:val="24"/>
          <w:lang w:val="en-US"/>
        </w:rPr>
        <w:t>IVAS is being considered in MeCAR for XR devices, th</w:t>
      </w:r>
      <w:r w:rsidR="00DA052C">
        <w:rPr>
          <w:rFonts w:eastAsia="Times New Roman" w:cs="Arial"/>
          <w:sz w:val="24"/>
          <w:szCs w:val="24"/>
          <w:lang w:val="en-US"/>
        </w:rPr>
        <w:t>is</w:t>
      </w:r>
      <w:r>
        <w:rPr>
          <w:rFonts w:eastAsia="Times New Roman" w:cs="Arial"/>
          <w:sz w:val="24"/>
          <w:szCs w:val="24"/>
          <w:lang w:val="en-US"/>
        </w:rPr>
        <w:t xml:space="preserve"> type of devices should </w:t>
      </w:r>
      <w:r w:rsidR="00B200AF">
        <w:rPr>
          <w:rFonts w:eastAsia="Times New Roman" w:cs="Arial"/>
          <w:sz w:val="24"/>
          <w:szCs w:val="24"/>
          <w:lang w:val="en-US"/>
        </w:rPr>
        <w:t xml:space="preserve">now be </w:t>
      </w:r>
      <w:r>
        <w:rPr>
          <w:rFonts w:eastAsia="Times New Roman" w:cs="Arial"/>
          <w:sz w:val="24"/>
          <w:szCs w:val="24"/>
          <w:lang w:val="en-US"/>
        </w:rPr>
        <w:t>described in test setups.</w:t>
      </w:r>
    </w:p>
    <w:p w14:paraId="6BD4784E" w14:textId="0ABE9A9D" w:rsidR="00A94A9C" w:rsidRPr="00DF137C" w:rsidRDefault="00A94A9C" w:rsidP="00EF6D2E">
      <w:pPr>
        <w:rPr>
          <w:rFonts w:eastAsia="Times New Roman" w:cs="Arial"/>
          <w:sz w:val="24"/>
          <w:szCs w:val="24"/>
          <w:lang w:val="en-US"/>
        </w:rPr>
      </w:pPr>
    </w:p>
    <w:p w14:paraId="76FE3CCD" w14:textId="01E4976F" w:rsidR="00A63DAF" w:rsidRPr="00002358" w:rsidRDefault="00D91F2C" w:rsidP="00A63DAF">
      <w:pPr>
        <w:pStyle w:val="Titre1"/>
        <w:rPr>
          <w:b/>
        </w:rPr>
      </w:pPr>
      <w:r>
        <w:rPr>
          <w:b/>
        </w:rPr>
        <w:lastRenderedPageBreak/>
        <w:t>Considerations on receiver tests</w:t>
      </w:r>
    </w:p>
    <w:p w14:paraId="4120B753" w14:textId="695CB843" w:rsidR="009440EC" w:rsidRDefault="009440EC" w:rsidP="000816C1">
      <w:pPr>
        <w:rPr>
          <w:rFonts w:eastAsia="Times New Roman" w:cs="Arial"/>
          <w:sz w:val="24"/>
          <w:szCs w:val="24"/>
        </w:rPr>
      </w:pPr>
      <w:r>
        <w:rPr>
          <w:rFonts w:eastAsia="Times New Roman" w:cs="Arial"/>
          <w:sz w:val="24"/>
          <w:szCs w:val="24"/>
        </w:rPr>
        <w:t>It is essential to define a set of receiver tests that can ensure sufficient terminal audio quality when binaural rendering is configured. Such tests may be based on an acoustic interface (e.g.</w:t>
      </w:r>
      <w:r w:rsidR="008404EB">
        <w:rPr>
          <w:rFonts w:eastAsia="Times New Roman" w:cs="Arial"/>
          <w:sz w:val="24"/>
          <w:szCs w:val="24"/>
        </w:rPr>
        <w:t>,</w:t>
      </w:r>
      <w:r>
        <w:rPr>
          <w:rFonts w:eastAsia="Times New Roman" w:cs="Arial"/>
          <w:sz w:val="24"/>
          <w:szCs w:val="24"/>
        </w:rPr>
        <w:t xml:space="preserve"> HATS) when the UE includes a binaural headet or an electrical interface.</w:t>
      </w:r>
    </w:p>
    <w:p w14:paraId="4B81962D" w14:textId="52206DCA" w:rsidR="006B0253" w:rsidRDefault="006B0253" w:rsidP="000816C1">
      <w:pPr>
        <w:rPr>
          <w:rFonts w:eastAsia="Times New Roman" w:cs="Arial"/>
          <w:sz w:val="24"/>
          <w:szCs w:val="24"/>
        </w:rPr>
      </w:pPr>
      <w:r>
        <w:rPr>
          <w:rFonts w:eastAsia="Times New Roman" w:cs="Arial"/>
          <w:sz w:val="24"/>
          <w:szCs w:val="24"/>
        </w:rPr>
        <w:t>The IVAS codec supports</w:t>
      </w:r>
      <w:r w:rsidRPr="006B0253">
        <w:rPr>
          <w:rFonts w:eastAsia="Times New Roman" w:cs="Arial"/>
          <w:sz w:val="24"/>
          <w:szCs w:val="24"/>
        </w:rPr>
        <w:t xml:space="preserve"> a default set of HRIR and BRIR filters for testing </w:t>
      </w:r>
      <w:r>
        <w:rPr>
          <w:rFonts w:eastAsia="Times New Roman" w:cs="Arial"/>
          <w:sz w:val="24"/>
          <w:szCs w:val="24"/>
        </w:rPr>
        <w:t>(see motivations in [3]). T</w:t>
      </w:r>
      <w:r w:rsidRPr="006B0253">
        <w:rPr>
          <w:rFonts w:eastAsia="Times New Roman" w:cs="Arial"/>
          <w:sz w:val="24"/>
          <w:szCs w:val="24"/>
        </w:rPr>
        <w:t>his default set is natively used by IVAS when no filter set is provided through the binaural rendering interface</w:t>
      </w:r>
      <w:r>
        <w:rPr>
          <w:rFonts w:eastAsia="Times New Roman" w:cs="Arial"/>
          <w:sz w:val="24"/>
          <w:szCs w:val="24"/>
        </w:rPr>
        <w:t xml:space="preserve">. </w:t>
      </w:r>
      <w:r w:rsidR="004E543A">
        <w:rPr>
          <w:rFonts w:eastAsia="Times New Roman" w:cs="Arial"/>
          <w:sz w:val="24"/>
          <w:szCs w:val="24"/>
        </w:rPr>
        <w:t>TS 26.260 should refer to this default set</w:t>
      </w:r>
      <w:r>
        <w:rPr>
          <w:rFonts w:eastAsia="Times New Roman" w:cs="Arial"/>
          <w:sz w:val="24"/>
          <w:szCs w:val="24"/>
        </w:rPr>
        <w:t xml:space="preserve"> to have more control on test conditions</w:t>
      </w:r>
      <w:r w:rsidR="00044B33">
        <w:rPr>
          <w:rFonts w:eastAsia="Times New Roman" w:cs="Arial"/>
          <w:sz w:val="24"/>
          <w:szCs w:val="24"/>
        </w:rPr>
        <w:t xml:space="preserve"> and provide a known quality reference point</w:t>
      </w:r>
      <w:r>
        <w:rPr>
          <w:rFonts w:eastAsia="Times New Roman" w:cs="Arial"/>
          <w:sz w:val="24"/>
          <w:szCs w:val="24"/>
        </w:rPr>
        <w:t>.</w:t>
      </w:r>
    </w:p>
    <w:p w14:paraId="280845AA" w14:textId="19CE1500" w:rsidR="00150B9B" w:rsidRPr="006B0253" w:rsidRDefault="00314070" w:rsidP="000816C1">
      <w:pPr>
        <w:rPr>
          <w:rFonts w:eastAsia="Times New Roman" w:cs="Arial"/>
          <w:sz w:val="24"/>
          <w:szCs w:val="24"/>
        </w:rPr>
      </w:pPr>
      <w:r>
        <w:rPr>
          <w:rFonts w:eastAsia="Times New Roman" w:cs="Arial"/>
          <w:sz w:val="24"/>
          <w:szCs w:val="24"/>
        </w:rPr>
        <w:t>We suggest considering p</w:t>
      </w:r>
      <w:r w:rsidR="00150B9B">
        <w:rPr>
          <w:rFonts w:eastAsia="Times New Roman" w:cs="Arial"/>
          <w:sz w:val="24"/>
          <w:szCs w:val="24"/>
        </w:rPr>
        <w:t xml:space="preserve">roposals for objective testing </w:t>
      </w:r>
      <w:r>
        <w:rPr>
          <w:rFonts w:eastAsia="Times New Roman" w:cs="Arial"/>
          <w:sz w:val="24"/>
          <w:szCs w:val="24"/>
        </w:rPr>
        <w:t>from</w:t>
      </w:r>
      <w:r w:rsidR="00BA112B">
        <w:rPr>
          <w:rFonts w:eastAsia="Times New Roman" w:cs="Arial"/>
          <w:sz w:val="24"/>
          <w:szCs w:val="24"/>
        </w:rPr>
        <w:t xml:space="preserve"> [4] </w:t>
      </w:r>
      <w:r w:rsidR="00150B9B">
        <w:rPr>
          <w:rFonts w:eastAsia="Times New Roman" w:cs="Arial"/>
          <w:sz w:val="24"/>
          <w:szCs w:val="24"/>
        </w:rPr>
        <w:t>in the scope of ATIAS.</w:t>
      </w:r>
    </w:p>
    <w:p w14:paraId="5E5411D4" w14:textId="77777777" w:rsidR="003E33C4" w:rsidRPr="003E33C4" w:rsidRDefault="003E33C4" w:rsidP="000816C1">
      <w:pPr>
        <w:pStyle w:val="NO"/>
        <w:ind w:left="0" w:firstLine="0"/>
      </w:pPr>
    </w:p>
    <w:p w14:paraId="5614AFDB" w14:textId="224282B7" w:rsidR="000816C1" w:rsidRDefault="000816C1" w:rsidP="00F218B4">
      <w:pPr>
        <w:pStyle w:val="Titre2"/>
        <w:numPr>
          <w:ilvl w:val="0"/>
          <w:numId w:val="0"/>
        </w:numPr>
        <w:ind w:left="576" w:hanging="576"/>
      </w:pPr>
      <w:r w:rsidRPr="00281A07">
        <w:t>Reference</w:t>
      </w:r>
      <w:r w:rsidR="009E7C0B">
        <w:t>s</w:t>
      </w:r>
    </w:p>
    <w:p w14:paraId="1F193D3F" w14:textId="3C501722" w:rsidR="009E7C0B" w:rsidRDefault="009E7C0B" w:rsidP="00F218B4">
      <w:pPr>
        <w:pStyle w:val="Paragraphedeliste"/>
        <w:numPr>
          <w:ilvl w:val="0"/>
          <w:numId w:val="9"/>
        </w:numPr>
        <w:rPr>
          <w:rFonts w:ascii="Arial" w:eastAsia="Times New Roman" w:hAnsi="Arial" w:cs="Arial"/>
          <w:lang w:val="en-GB"/>
        </w:rPr>
      </w:pPr>
      <w:r w:rsidRPr="009E7C0B">
        <w:rPr>
          <w:rFonts w:ascii="Arial" w:eastAsia="Times New Roman" w:hAnsi="Arial" w:cs="Arial"/>
          <w:lang w:val="en-GB"/>
        </w:rPr>
        <w:t>SP-190040</w:t>
      </w:r>
      <w:r>
        <w:rPr>
          <w:rFonts w:ascii="Arial" w:eastAsia="Times New Roman" w:hAnsi="Arial" w:cs="Arial"/>
          <w:lang w:val="en-GB"/>
        </w:rPr>
        <w:t xml:space="preserve">, WID on </w:t>
      </w:r>
      <w:r w:rsidRPr="009E7C0B">
        <w:rPr>
          <w:rFonts w:ascii="Arial" w:eastAsia="Times New Roman" w:hAnsi="Arial" w:cs="Arial"/>
          <w:lang w:val="en-GB"/>
        </w:rPr>
        <w:t>Terminal Audio quality performance and Test methods for Immersive Audio Services</w:t>
      </w:r>
    </w:p>
    <w:p w14:paraId="6B62DFBE" w14:textId="7F18F2F4" w:rsidR="009E7C0B" w:rsidRDefault="00002358" w:rsidP="00F218B4">
      <w:pPr>
        <w:pStyle w:val="Paragraphedeliste"/>
        <w:numPr>
          <w:ilvl w:val="0"/>
          <w:numId w:val="9"/>
        </w:numPr>
        <w:rPr>
          <w:rFonts w:ascii="Arial" w:eastAsia="Times New Roman" w:hAnsi="Arial" w:cs="Arial"/>
          <w:lang w:val="en-GB"/>
        </w:rPr>
      </w:pPr>
      <w:r>
        <w:rPr>
          <w:rFonts w:ascii="Arial" w:eastAsia="Times New Roman" w:hAnsi="Arial" w:cs="Arial"/>
          <w:lang w:val="en-GB"/>
        </w:rPr>
        <w:t xml:space="preserve">S4-231418, </w:t>
      </w:r>
      <w:r w:rsidRPr="00002358">
        <w:rPr>
          <w:rFonts w:ascii="Arial" w:eastAsia="Times New Roman" w:hAnsi="Arial" w:cs="Arial"/>
          <w:lang w:val="en-GB"/>
        </w:rPr>
        <w:t>ATIAS Pdoc v0.5.0, Source: Editor (Do</w:t>
      </w:r>
      <w:r>
        <w:rPr>
          <w:rFonts w:ascii="Arial" w:eastAsia="Times New Roman" w:hAnsi="Arial" w:cs="Arial"/>
          <w:lang w:val="en-GB"/>
        </w:rPr>
        <w:t>lby)</w:t>
      </w:r>
    </w:p>
    <w:p w14:paraId="7B2D681C" w14:textId="3E5CE35D" w:rsidR="00D91F2C" w:rsidRDefault="00D91F2C" w:rsidP="00F218B4">
      <w:pPr>
        <w:pStyle w:val="Paragraphedeliste"/>
        <w:numPr>
          <w:ilvl w:val="0"/>
          <w:numId w:val="9"/>
        </w:numPr>
        <w:rPr>
          <w:rFonts w:ascii="Arial" w:eastAsia="Times New Roman" w:hAnsi="Arial" w:cs="Arial"/>
          <w:lang w:val="en-GB"/>
        </w:rPr>
      </w:pPr>
      <w:r w:rsidRPr="00D91F2C">
        <w:rPr>
          <w:rFonts w:ascii="Arial" w:eastAsia="Times New Roman" w:hAnsi="Arial" w:cs="Arial"/>
          <w:lang w:val="en-GB"/>
        </w:rPr>
        <w:t>S4-221027</w:t>
      </w:r>
      <w:r>
        <w:rPr>
          <w:rFonts w:ascii="Arial" w:eastAsia="Times New Roman" w:hAnsi="Arial" w:cs="Arial"/>
          <w:lang w:val="en-GB"/>
        </w:rPr>
        <w:t xml:space="preserve">, </w:t>
      </w:r>
      <w:r w:rsidRPr="00D91F2C">
        <w:rPr>
          <w:rFonts w:ascii="Arial" w:eastAsia="Times New Roman" w:hAnsi="Arial" w:cs="Arial"/>
          <w:lang w:val="en-GB"/>
        </w:rPr>
        <w:t>On binaural rendering</w:t>
      </w:r>
      <w:r>
        <w:rPr>
          <w:rFonts w:ascii="Arial" w:eastAsia="Times New Roman" w:hAnsi="Arial" w:cs="Arial"/>
          <w:lang w:val="en-GB"/>
        </w:rPr>
        <w:t>, Source: Orange</w:t>
      </w:r>
    </w:p>
    <w:p w14:paraId="0C8B3457" w14:textId="10098916" w:rsidR="00150B9B" w:rsidRDefault="00150B9B" w:rsidP="00F218B4">
      <w:pPr>
        <w:pStyle w:val="Paragraphedeliste"/>
        <w:numPr>
          <w:ilvl w:val="0"/>
          <w:numId w:val="9"/>
        </w:numPr>
        <w:rPr>
          <w:rFonts w:ascii="Arial" w:eastAsia="Times New Roman" w:hAnsi="Arial" w:cs="Arial"/>
          <w:lang w:val="en-GB"/>
        </w:rPr>
      </w:pPr>
      <w:r>
        <w:rPr>
          <w:rFonts w:ascii="Arial" w:eastAsia="Times New Roman" w:hAnsi="Arial" w:cs="Arial"/>
          <w:lang w:val="en-GB"/>
        </w:rPr>
        <w:t xml:space="preserve">S4-231117, </w:t>
      </w:r>
      <w:r w:rsidRPr="00150B9B">
        <w:rPr>
          <w:rFonts w:ascii="Arial" w:eastAsia="Times New Roman" w:hAnsi="Arial" w:cs="Arial"/>
          <w:lang w:val="en-GB"/>
        </w:rPr>
        <w:t>IVAS Room Acoustics Testing Methodologies</w:t>
      </w:r>
      <w:r>
        <w:rPr>
          <w:rFonts w:ascii="Arial" w:eastAsia="Times New Roman" w:hAnsi="Arial" w:cs="Arial"/>
          <w:lang w:val="en-GB"/>
        </w:rPr>
        <w:t xml:space="preserve">, Source: </w:t>
      </w:r>
      <w:r w:rsidRPr="00150B9B">
        <w:rPr>
          <w:rFonts w:ascii="Arial" w:eastAsia="Times New Roman" w:hAnsi="Arial" w:cs="Arial"/>
          <w:lang w:val="en-GB"/>
        </w:rPr>
        <w:t>Orange, Philips, Qualcomm</w:t>
      </w:r>
    </w:p>
    <w:p w14:paraId="7369BC59" w14:textId="4FE7420F" w:rsidR="009E7C0B" w:rsidRPr="009E7C0B" w:rsidRDefault="009E7C0B" w:rsidP="009E7C0B">
      <w:pPr>
        <w:rPr>
          <w:rFonts w:eastAsia="Times New Roman" w:cs="Arial"/>
        </w:rPr>
      </w:pPr>
    </w:p>
    <w:p w14:paraId="0A1151D6" w14:textId="5992CEE0" w:rsidR="0068505A" w:rsidRPr="00002358" w:rsidRDefault="0068505A" w:rsidP="0068505A">
      <w:pPr>
        <w:rPr>
          <w:rFonts w:eastAsia="Times New Roman" w:cs="Arial"/>
        </w:rPr>
      </w:pPr>
    </w:p>
    <w:sectPr w:rsidR="0068505A" w:rsidRPr="00002358"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97E23" w14:textId="77777777" w:rsidR="00295E8E" w:rsidRDefault="00295E8E">
      <w:r>
        <w:separator/>
      </w:r>
    </w:p>
  </w:endnote>
  <w:endnote w:type="continuationSeparator" w:id="0">
    <w:p w14:paraId="02055267" w14:textId="77777777" w:rsidR="00295E8E" w:rsidRDefault="0029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DD2DF58"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122B85">
      <w:rPr>
        <w:rStyle w:val="Numrodepage"/>
        <w:b/>
        <w:noProof/>
        <w:sz w:val="18"/>
      </w:rPr>
      <w:t>3</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122B85">
      <w:rPr>
        <w:rStyle w:val="Numrodepage"/>
        <w:b/>
        <w:noProof/>
        <w:sz w:val="18"/>
      </w:rPr>
      <w:t>3</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451766E3"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F218B4">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F218B4">
      <w:rPr>
        <w:rStyle w:val="Numrodepage"/>
        <w:b/>
        <w:noProof/>
        <w:sz w:val="18"/>
      </w:rPr>
      <w:t>3</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2C025" w14:textId="77777777" w:rsidR="00295E8E" w:rsidRDefault="00295E8E">
      <w:r>
        <w:separator/>
      </w:r>
    </w:p>
  </w:footnote>
  <w:footnote w:type="continuationSeparator" w:id="0">
    <w:p w14:paraId="2E831D71" w14:textId="77777777" w:rsidR="00295E8E" w:rsidRDefault="00295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058CE" w14:textId="63DD6F6D" w:rsidR="009814B5" w:rsidRPr="009814B5" w:rsidRDefault="009814B5" w:rsidP="009814B5">
    <w:pPr>
      <w:widowControl/>
      <w:tabs>
        <w:tab w:val="right" w:pos="9356"/>
      </w:tabs>
      <w:spacing w:after="0" w:line="276" w:lineRule="auto"/>
      <w:rPr>
        <w:rFonts w:eastAsia="Arial" w:cs="Arial"/>
        <w:b/>
        <w:i/>
        <w:szCs w:val="22"/>
        <w:lang w:val="en" w:eastAsia="fr-FR"/>
      </w:rPr>
    </w:pPr>
    <w:r w:rsidRPr="009814B5">
      <w:rPr>
        <w:rFonts w:eastAsia="Arial" w:cs="Arial"/>
        <w:szCs w:val="22"/>
        <w:lang w:val="en" w:eastAsia="fr-FR"/>
      </w:rPr>
      <w:t>3GPP TSG SA WG4#126 meeting</w:t>
    </w:r>
    <w:r w:rsidRPr="009814B5">
      <w:rPr>
        <w:rFonts w:eastAsia="Arial" w:cs="Arial"/>
        <w:b/>
        <w:i/>
        <w:szCs w:val="22"/>
        <w:lang w:val="en" w:eastAsia="fr-FR"/>
      </w:rPr>
      <w:tab/>
    </w:r>
    <w:r w:rsidRPr="009814B5">
      <w:rPr>
        <w:rFonts w:eastAsia="Arial" w:cs="Arial"/>
        <w:b/>
        <w:i/>
        <w:sz w:val="28"/>
        <w:szCs w:val="28"/>
        <w:lang w:val="en" w:eastAsia="fr-FR"/>
      </w:rPr>
      <w:t>Tdoc S4-2318</w:t>
    </w:r>
    <w:r>
      <w:rPr>
        <w:rFonts w:eastAsia="Arial" w:cs="Arial"/>
        <w:b/>
        <w:i/>
        <w:sz w:val="28"/>
        <w:szCs w:val="28"/>
        <w:lang w:val="en" w:eastAsia="fr-FR"/>
      </w:rPr>
      <w:t>79</w:t>
    </w:r>
  </w:p>
  <w:p w14:paraId="641F0A71" w14:textId="466BA669" w:rsidR="00ED0981" w:rsidRPr="0084724A" w:rsidRDefault="009814B5" w:rsidP="009814B5">
    <w:pPr>
      <w:tabs>
        <w:tab w:val="right" w:pos="9360"/>
      </w:tabs>
      <w:rPr>
        <w:rFonts w:cs="Arial"/>
        <w:b/>
        <w:lang w:val="en-US" w:eastAsia="zh-CN"/>
      </w:rPr>
    </w:pPr>
    <w:r w:rsidRPr="009814B5">
      <w:rPr>
        <w:rFonts w:eastAsia="Arial" w:cs="Arial"/>
        <w:szCs w:val="22"/>
        <w:lang w:val="en" w:eastAsia="fr-FR"/>
      </w:rPr>
      <w:t>Chicago, USA, 13 - 17 November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4F4DB4"/>
    <w:multiLevelType w:val="hybridMultilevel"/>
    <w:tmpl w:val="8556C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141A6A9D"/>
    <w:multiLevelType w:val="hybridMultilevel"/>
    <w:tmpl w:val="327C509E"/>
    <w:lvl w:ilvl="0" w:tplc="E600378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16414C"/>
    <w:multiLevelType w:val="hybridMultilevel"/>
    <w:tmpl w:val="96FEF7A6"/>
    <w:lvl w:ilvl="0" w:tplc="1DDCD872">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2337ED"/>
    <w:multiLevelType w:val="hybridMultilevel"/>
    <w:tmpl w:val="8C8EAA3A"/>
    <w:lvl w:ilvl="0" w:tplc="54941CDC">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E4308"/>
    <w:multiLevelType w:val="hybridMultilevel"/>
    <w:tmpl w:val="D6E0E686"/>
    <w:lvl w:ilvl="0" w:tplc="9AC27C6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465D3D"/>
    <w:multiLevelType w:val="hybridMultilevel"/>
    <w:tmpl w:val="A922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550CE4"/>
    <w:multiLevelType w:val="hybridMultilevel"/>
    <w:tmpl w:val="D9ECC632"/>
    <w:lvl w:ilvl="0" w:tplc="D884F98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8B4EA1"/>
    <w:multiLevelType w:val="multilevel"/>
    <w:tmpl w:val="040C0025"/>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6" w15:restartNumberingAfterBreak="0">
    <w:nsid w:val="72A86FB1"/>
    <w:multiLevelType w:val="hybridMultilevel"/>
    <w:tmpl w:val="38A8E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70C6F"/>
    <w:multiLevelType w:val="hybridMultilevel"/>
    <w:tmpl w:val="E5B2870C"/>
    <w:lvl w:ilvl="0" w:tplc="AAD06BB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96865439">
    <w:abstractNumId w:val="0"/>
  </w:num>
  <w:num w:numId="2" w16cid:durableId="1624455301">
    <w:abstractNumId w:val="18"/>
  </w:num>
  <w:num w:numId="3" w16cid:durableId="309333953">
    <w:abstractNumId w:val="5"/>
  </w:num>
  <w:num w:numId="4" w16cid:durableId="1776753660">
    <w:abstractNumId w:val="7"/>
  </w:num>
  <w:num w:numId="5" w16cid:durableId="546112283">
    <w:abstractNumId w:val="9"/>
  </w:num>
  <w:num w:numId="6" w16cid:durableId="1515416150">
    <w:abstractNumId w:val="17"/>
  </w:num>
  <w:num w:numId="7" w16cid:durableId="1830251552">
    <w:abstractNumId w:val="6"/>
  </w:num>
  <w:num w:numId="8" w16cid:durableId="1347439621">
    <w:abstractNumId w:val="8"/>
  </w:num>
  <w:num w:numId="9" w16cid:durableId="1334868791">
    <w:abstractNumId w:val="2"/>
  </w:num>
  <w:num w:numId="10" w16cid:durableId="2114744887">
    <w:abstractNumId w:val="12"/>
  </w:num>
  <w:num w:numId="11" w16cid:durableId="508562824">
    <w:abstractNumId w:val="13"/>
  </w:num>
  <w:num w:numId="12" w16cid:durableId="1448044686">
    <w:abstractNumId w:val="16"/>
  </w:num>
  <w:num w:numId="13" w16cid:durableId="26177431">
    <w:abstractNumId w:val="14"/>
  </w:num>
  <w:num w:numId="14" w16cid:durableId="891844277">
    <w:abstractNumId w:val="10"/>
  </w:num>
  <w:num w:numId="15" w16cid:durableId="1431730671">
    <w:abstractNumId w:val="19"/>
  </w:num>
  <w:num w:numId="16" w16cid:durableId="719093074">
    <w:abstractNumId w:val="15"/>
  </w:num>
  <w:num w:numId="17" w16cid:durableId="1276668815">
    <w:abstractNumId w:val="11"/>
  </w:num>
  <w:num w:numId="18" w16cid:durableId="1321932796">
    <w:abstractNumId w:val="4"/>
  </w:num>
  <w:num w:numId="19" w16cid:durableId="2115199092">
    <w:abstractNumId w:val="1"/>
  </w:num>
  <w:num w:numId="20" w16cid:durableId="172926213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358"/>
    <w:rsid w:val="00002A13"/>
    <w:rsid w:val="00002AED"/>
    <w:rsid w:val="000037AD"/>
    <w:rsid w:val="0000590E"/>
    <w:rsid w:val="0000658F"/>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587"/>
    <w:rsid w:val="000428EB"/>
    <w:rsid w:val="00044367"/>
    <w:rsid w:val="00044B33"/>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77E3B"/>
    <w:rsid w:val="000807DB"/>
    <w:rsid w:val="000816C1"/>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2B85"/>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872"/>
    <w:rsid w:val="00140CC7"/>
    <w:rsid w:val="00141020"/>
    <w:rsid w:val="0014122D"/>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B9B"/>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3EEC"/>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2EF8"/>
    <w:rsid w:val="0026327D"/>
    <w:rsid w:val="00263711"/>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6CB3"/>
    <w:rsid w:val="002876FB"/>
    <w:rsid w:val="00291732"/>
    <w:rsid w:val="0029261E"/>
    <w:rsid w:val="00292B46"/>
    <w:rsid w:val="00292EEA"/>
    <w:rsid w:val="00293C32"/>
    <w:rsid w:val="00293C7E"/>
    <w:rsid w:val="002941AE"/>
    <w:rsid w:val="00295E8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53C"/>
    <w:rsid w:val="002A50DE"/>
    <w:rsid w:val="002A545A"/>
    <w:rsid w:val="002A560E"/>
    <w:rsid w:val="002A5BA9"/>
    <w:rsid w:val="002A7813"/>
    <w:rsid w:val="002B01E6"/>
    <w:rsid w:val="002B0600"/>
    <w:rsid w:val="002B0603"/>
    <w:rsid w:val="002B2F2F"/>
    <w:rsid w:val="002B40DC"/>
    <w:rsid w:val="002B41A1"/>
    <w:rsid w:val="002B441B"/>
    <w:rsid w:val="002B55F1"/>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880"/>
    <w:rsid w:val="002D1E80"/>
    <w:rsid w:val="002D207A"/>
    <w:rsid w:val="002D2367"/>
    <w:rsid w:val="002D255D"/>
    <w:rsid w:val="002D2CB4"/>
    <w:rsid w:val="002D501F"/>
    <w:rsid w:val="002D507B"/>
    <w:rsid w:val="002D5324"/>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070"/>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640"/>
    <w:rsid w:val="003908C6"/>
    <w:rsid w:val="00390B2E"/>
    <w:rsid w:val="003926D4"/>
    <w:rsid w:val="0039280E"/>
    <w:rsid w:val="0039350F"/>
    <w:rsid w:val="00394884"/>
    <w:rsid w:val="00395655"/>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8F5"/>
    <w:rsid w:val="003E33C4"/>
    <w:rsid w:val="003E4E9A"/>
    <w:rsid w:val="003E4FD8"/>
    <w:rsid w:val="003E50A5"/>
    <w:rsid w:val="003E5A87"/>
    <w:rsid w:val="003E76C6"/>
    <w:rsid w:val="003E77A3"/>
    <w:rsid w:val="003E7F39"/>
    <w:rsid w:val="003F05EE"/>
    <w:rsid w:val="003F0C4E"/>
    <w:rsid w:val="003F16C6"/>
    <w:rsid w:val="003F1DE7"/>
    <w:rsid w:val="003F25B9"/>
    <w:rsid w:val="003F2801"/>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1D5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303"/>
    <w:rsid w:val="00490B15"/>
    <w:rsid w:val="00491215"/>
    <w:rsid w:val="00491261"/>
    <w:rsid w:val="00491FE6"/>
    <w:rsid w:val="0049220D"/>
    <w:rsid w:val="00492D03"/>
    <w:rsid w:val="00493342"/>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54A"/>
    <w:rsid w:val="004A4AAB"/>
    <w:rsid w:val="004A5493"/>
    <w:rsid w:val="004A5946"/>
    <w:rsid w:val="004A6B3D"/>
    <w:rsid w:val="004A6D14"/>
    <w:rsid w:val="004A6DF1"/>
    <w:rsid w:val="004A78D1"/>
    <w:rsid w:val="004A7EAE"/>
    <w:rsid w:val="004A7F1A"/>
    <w:rsid w:val="004B0421"/>
    <w:rsid w:val="004B0C08"/>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36EF"/>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543A"/>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82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3E7B"/>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0FC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505A"/>
    <w:rsid w:val="006860E4"/>
    <w:rsid w:val="0068711A"/>
    <w:rsid w:val="00690BCE"/>
    <w:rsid w:val="0069117B"/>
    <w:rsid w:val="006920B7"/>
    <w:rsid w:val="00692B2D"/>
    <w:rsid w:val="00692F41"/>
    <w:rsid w:val="00692FD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6F50"/>
    <w:rsid w:val="006A7760"/>
    <w:rsid w:val="006A7EE2"/>
    <w:rsid w:val="006B0253"/>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006"/>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765"/>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A7D8B"/>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5938"/>
    <w:rsid w:val="00805FF7"/>
    <w:rsid w:val="00806022"/>
    <w:rsid w:val="00806252"/>
    <w:rsid w:val="0080686B"/>
    <w:rsid w:val="00806A10"/>
    <w:rsid w:val="00806AC4"/>
    <w:rsid w:val="008076EB"/>
    <w:rsid w:val="0081050E"/>
    <w:rsid w:val="008107E2"/>
    <w:rsid w:val="00811278"/>
    <w:rsid w:val="008112D1"/>
    <w:rsid w:val="00811A19"/>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4EB"/>
    <w:rsid w:val="0084058B"/>
    <w:rsid w:val="00840CCA"/>
    <w:rsid w:val="00840FDE"/>
    <w:rsid w:val="008411B7"/>
    <w:rsid w:val="0084158E"/>
    <w:rsid w:val="00841C1A"/>
    <w:rsid w:val="008422BD"/>
    <w:rsid w:val="0084263D"/>
    <w:rsid w:val="00842B1E"/>
    <w:rsid w:val="00842BF2"/>
    <w:rsid w:val="00842CC9"/>
    <w:rsid w:val="00843C2C"/>
    <w:rsid w:val="0084446E"/>
    <w:rsid w:val="0084448E"/>
    <w:rsid w:val="00845914"/>
    <w:rsid w:val="008462C8"/>
    <w:rsid w:val="00846BDF"/>
    <w:rsid w:val="008470BF"/>
    <w:rsid w:val="008479D2"/>
    <w:rsid w:val="00847CF5"/>
    <w:rsid w:val="008506B3"/>
    <w:rsid w:val="00850AA8"/>
    <w:rsid w:val="00851CBA"/>
    <w:rsid w:val="00852877"/>
    <w:rsid w:val="00852AB8"/>
    <w:rsid w:val="00852ED0"/>
    <w:rsid w:val="00853381"/>
    <w:rsid w:val="00856274"/>
    <w:rsid w:val="0085667E"/>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9AE"/>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433C"/>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0B58"/>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263A"/>
    <w:rsid w:val="0091393C"/>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7CDB"/>
    <w:rsid w:val="00940ABC"/>
    <w:rsid w:val="009415D0"/>
    <w:rsid w:val="00941AD4"/>
    <w:rsid w:val="00942548"/>
    <w:rsid w:val="00942D29"/>
    <w:rsid w:val="00943206"/>
    <w:rsid w:val="00943276"/>
    <w:rsid w:val="009440EC"/>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14B5"/>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0B"/>
    <w:rsid w:val="009E7C61"/>
    <w:rsid w:val="009F00C5"/>
    <w:rsid w:val="009F0539"/>
    <w:rsid w:val="009F0FCD"/>
    <w:rsid w:val="009F10F2"/>
    <w:rsid w:val="009F22C3"/>
    <w:rsid w:val="009F2493"/>
    <w:rsid w:val="009F26B9"/>
    <w:rsid w:val="009F33D2"/>
    <w:rsid w:val="009F367E"/>
    <w:rsid w:val="009F4D26"/>
    <w:rsid w:val="009F53E5"/>
    <w:rsid w:val="009F6235"/>
    <w:rsid w:val="009F62C6"/>
    <w:rsid w:val="009F631E"/>
    <w:rsid w:val="009F7382"/>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46E3"/>
    <w:rsid w:val="00A35942"/>
    <w:rsid w:val="00A3718B"/>
    <w:rsid w:val="00A3732A"/>
    <w:rsid w:val="00A40684"/>
    <w:rsid w:val="00A40AB3"/>
    <w:rsid w:val="00A40BC3"/>
    <w:rsid w:val="00A41944"/>
    <w:rsid w:val="00A4271A"/>
    <w:rsid w:val="00A42FDC"/>
    <w:rsid w:val="00A4314E"/>
    <w:rsid w:val="00A4499A"/>
    <w:rsid w:val="00A45EF6"/>
    <w:rsid w:val="00A4668A"/>
    <w:rsid w:val="00A470D0"/>
    <w:rsid w:val="00A5018E"/>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3DAF"/>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4A9C"/>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A96"/>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1D1"/>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0AF"/>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5CD1"/>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524"/>
    <w:rsid w:val="00BA0951"/>
    <w:rsid w:val="00BA112B"/>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20C"/>
    <w:rsid w:val="00BC1972"/>
    <w:rsid w:val="00BC3550"/>
    <w:rsid w:val="00BC3A48"/>
    <w:rsid w:val="00BC3A63"/>
    <w:rsid w:val="00BC4002"/>
    <w:rsid w:val="00BC4220"/>
    <w:rsid w:val="00BC5005"/>
    <w:rsid w:val="00BC5087"/>
    <w:rsid w:val="00BC68AC"/>
    <w:rsid w:val="00BD06DB"/>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948"/>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DAC"/>
    <w:rsid w:val="00C52ED6"/>
    <w:rsid w:val="00C53117"/>
    <w:rsid w:val="00C53161"/>
    <w:rsid w:val="00C538A2"/>
    <w:rsid w:val="00C53AFB"/>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6B8"/>
    <w:rsid w:val="00C807B4"/>
    <w:rsid w:val="00C81E31"/>
    <w:rsid w:val="00C82156"/>
    <w:rsid w:val="00C82C18"/>
    <w:rsid w:val="00C84081"/>
    <w:rsid w:val="00C84855"/>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9A0"/>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B7B"/>
    <w:rsid w:val="00CD6E99"/>
    <w:rsid w:val="00CD7FFA"/>
    <w:rsid w:val="00CE0678"/>
    <w:rsid w:val="00CE0BC5"/>
    <w:rsid w:val="00CE1833"/>
    <w:rsid w:val="00CE2FC3"/>
    <w:rsid w:val="00CE30C0"/>
    <w:rsid w:val="00CE4403"/>
    <w:rsid w:val="00CE4A17"/>
    <w:rsid w:val="00CE4AA9"/>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F1"/>
    <w:rsid w:val="00D12924"/>
    <w:rsid w:val="00D1458F"/>
    <w:rsid w:val="00D14EBD"/>
    <w:rsid w:val="00D155D2"/>
    <w:rsid w:val="00D171A7"/>
    <w:rsid w:val="00D171B9"/>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DC5"/>
    <w:rsid w:val="00D42E6F"/>
    <w:rsid w:val="00D42E7E"/>
    <w:rsid w:val="00D43306"/>
    <w:rsid w:val="00D4417B"/>
    <w:rsid w:val="00D44F5E"/>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2E70"/>
    <w:rsid w:val="00D64BBE"/>
    <w:rsid w:val="00D64BF6"/>
    <w:rsid w:val="00D64C44"/>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1F2C"/>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52C"/>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37C"/>
    <w:rsid w:val="00DF1C72"/>
    <w:rsid w:val="00DF1FDF"/>
    <w:rsid w:val="00DF2425"/>
    <w:rsid w:val="00DF358F"/>
    <w:rsid w:val="00DF3AFF"/>
    <w:rsid w:val="00DF4554"/>
    <w:rsid w:val="00DF5F3F"/>
    <w:rsid w:val="00DF7318"/>
    <w:rsid w:val="00DF7773"/>
    <w:rsid w:val="00DF7A4D"/>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591"/>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33A9"/>
    <w:rsid w:val="00EF4CB3"/>
    <w:rsid w:val="00EF51CF"/>
    <w:rsid w:val="00EF5380"/>
    <w:rsid w:val="00EF55C2"/>
    <w:rsid w:val="00EF659D"/>
    <w:rsid w:val="00EF6D2E"/>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4B90"/>
    <w:rsid w:val="00F15443"/>
    <w:rsid w:val="00F155F3"/>
    <w:rsid w:val="00F15B07"/>
    <w:rsid w:val="00F175DD"/>
    <w:rsid w:val="00F17F05"/>
    <w:rsid w:val="00F204C7"/>
    <w:rsid w:val="00F218B4"/>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001"/>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E09C6CB1-C136-450F-94B8-51D920EC4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numPr>
        <w:numId w:val="16"/>
      </w:numPr>
      <w:outlineLvl w:val="0"/>
    </w:pPr>
    <w:rPr>
      <w:sz w:val="24"/>
    </w:rPr>
  </w:style>
  <w:style w:type="paragraph" w:styleId="Titre2">
    <w:name w:val="heading 2"/>
    <w:basedOn w:val="Normal"/>
    <w:next w:val="Normal"/>
    <w:qFormat/>
    <w:rsid w:val="001F5E78"/>
    <w:pPr>
      <w:keepNext/>
      <w:numPr>
        <w:ilvl w:val="1"/>
        <w:numId w:val="16"/>
      </w:numPr>
      <w:tabs>
        <w:tab w:val="left" w:pos="2127"/>
      </w:tabs>
      <w:outlineLvl w:val="1"/>
    </w:pPr>
    <w:rPr>
      <w:b/>
      <w:sz w:val="24"/>
      <w:lang w:val="en-US"/>
    </w:rPr>
  </w:style>
  <w:style w:type="paragraph" w:styleId="Titre3">
    <w:name w:val="heading 3"/>
    <w:basedOn w:val="Normal"/>
    <w:next w:val="Normal"/>
    <w:qFormat/>
    <w:rsid w:val="001F5E78"/>
    <w:pPr>
      <w:keepNext/>
      <w:numPr>
        <w:ilvl w:val="2"/>
        <w:numId w:val="16"/>
      </w:numPr>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numPr>
        <w:ilvl w:val="3"/>
        <w:numId w:val="16"/>
      </w:numPr>
      <w:tabs>
        <w:tab w:val="left" w:pos="851"/>
        <w:tab w:val="left" w:pos="1418"/>
        <w:tab w:val="left" w:pos="2127"/>
        <w:tab w:val="right" w:pos="8820"/>
      </w:tabs>
      <w:spacing w:before="480" w:after="0"/>
      <w:outlineLvl w:val="3"/>
    </w:pPr>
    <w:rPr>
      <w:b/>
      <w:sz w:val="32"/>
      <w:lang w:val="en-US"/>
    </w:rPr>
  </w:style>
  <w:style w:type="paragraph" w:styleId="Titre5">
    <w:name w:val="heading 5"/>
    <w:basedOn w:val="Normal"/>
    <w:next w:val="Normal"/>
    <w:qFormat/>
    <w:rsid w:val="001F5E78"/>
    <w:pPr>
      <w:keepNext/>
      <w:numPr>
        <w:ilvl w:val="4"/>
        <w:numId w:val="16"/>
      </w:numPr>
      <w:spacing w:before="20" w:after="0" w:line="240" w:lineRule="auto"/>
      <w:outlineLvl w:val="4"/>
    </w:pPr>
    <w:rPr>
      <w:rFonts w:cs="Arial"/>
      <w:b/>
      <w:bCs/>
      <w:color w:val="000000"/>
      <w:sz w:val="20"/>
      <w:lang w:val="en-US"/>
    </w:rPr>
  </w:style>
  <w:style w:type="paragraph" w:styleId="Titre6">
    <w:name w:val="heading 6"/>
    <w:basedOn w:val="Normal"/>
    <w:next w:val="Normal"/>
    <w:qFormat/>
    <w:rsid w:val="001F5E78"/>
    <w:pPr>
      <w:keepNext/>
      <w:numPr>
        <w:ilvl w:val="5"/>
        <w:numId w:val="16"/>
      </w:numPr>
      <w:spacing w:before="20" w:after="0" w:line="240" w:lineRule="auto"/>
      <w:outlineLvl w:val="5"/>
    </w:pPr>
    <w:rPr>
      <w:rFonts w:cs="Arial"/>
      <w:b/>
      <w:bCs/>
      <w:color w:val="000000"/>
      <w:sz w:val="20"/>
      <w:lang w:val="en-US"/>
    </w:rPr>
  </w:style>
  <w:style w:type="paragraph" w:styleId="Titre7">
    <w:name w:val="heading 7"/>
    <w:basedOn w:val="Normal"/>
    <w:next w:val="Normal"/>
    <w:link w:val="Titre7Car"/>
    <w:semiHidden/>
    <w:unhideWhenUsed/>
    <w:qFormat/>
    <w:rsid w:val="00F218B4"/>
    <w:pPr>
      <w:keepNext/>
      <w:keepLines/>
      <w:numPr>
        <w:ilvl w:val="6"/>
        <w:numId w:val="16"/>
      </w:numPr>
      <w:spacing w:before="40" w:after="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semiHidden/>
    <w:unhideWhenUsed/>
    <w:qFormat/>
    <w:rsid w:val="00F218B4"/>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F218B4"/>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unhideWhenUsed/>
    <w:rsid w:val="000816C1"/>
    <w:pPr>
      <w:spacing w:line="240" w:lineRule="auto"/>
    </w:pPr>
    <w:rPr>
      <w:sz w:val="20"/>
    </w:rPr>
  </w:style>
  <w:style w:type="character" w:customStyle="1" w:styleId="CommentaireCar">
    <w:name w:val="Commentaire Car"/>
    <w:basedOn w:val="Policepardfaut"/>
    <w:link w:val="Commentaire"/>
    <w:semiHidden/>
    <w:rsid w:val="000816C1"/>
    <w:rPr>
      <w:rFonts w:ascii="Arial" w:hAnsi="Arial"/>
      <w:lang w:val="en-GB"/>
    </w:rPr>
  </w:style>
  <w:style w:type="paragraph" w:customStyle="1" w:styleId="TAL">
    <w:name w:val="TAL"/>
    <w:basedOn w:val="Normal"/>
    <w:rsid w:val="000816C1"/>
    <w:pPr>
      <w:keepNext/>
      <w:keepLines/>
      <w:widowControl/>
      <w:spacing w:after="0" w:line="240" w:lineRule="auto"/>
    </w:pPr>
    <w:rPr>
      <w:sz w:val="18"/>
    </w:rPr>
  </w:style>
  <w:style w:type="paragraph" w:customStyle="1" w:styleId="TAC">
    <w:name w:val="TAC"/>
    <w:basedOn w:val="TAL"/>
    <w:rsid w:val="000816C1"/>
    <w:pPr>
      <w:jc w:val="center"/>
    </w:pPr>
    <w:rPr>
      <w:rFonts w:eastAsia="Times New Roman"/>
    </w:rPr>
  </w:style>
  <w:style w:type="paragraph" w:customStyle="1" w:styleId="NO">
    <w:name w:val="NO"/>
    <w:basedOn w:val="Normal"/>
    <w:link w:val="NOChar"/>
    <w:rsid w:val="000816C1"/>
    <w:pPr>
      <w:keepLines/>
      <w:widowControl/>
      <w:spacing w:after="180" w:line="240" w:lineRule="auto"/>
      <w:ind w:left="1135" w:hanging="851"/>
    </w:pPr>
    <w:rPr>
      <w:rFonts w:ascii="Times New Roman" w:eastAsia="Times New Roman" w:hAnsi="Times New Roman"/>
      <w:sz w:val="20"/>
    </w:rPr>
  </w:style>
  <w:style w:type="character" w:customStyle="1" w:styleId="NOChar">
    <w:name w:val="NO Char"/>
    <w:link w:val="NO"/>
    <w:rsid w:val="000816C1"/>
    <w:rPr>
      <w:rFonts w:eastAsia="Times New Roman"/>
      <w:lang w:val="en-GB"/>
    </w:rPr>
  </w:style>
  <w:style w:type="paragraph" w:styleId="Citation">
    <w:name w:val="Quote"/>
    <w:basedOn w:val="Normal"/>
    <w:next w:val="Normal"/>
    <w:link w:val="CitationCar"/>
    <w:uiPriority w:val="29"/>
    <w:qFormat/>
    <w:rsid w:val="000816C1"/>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0816C1"/>
    <w:rPr>
      <w:rFonts w:ascii="Arial" w:hAnsi="Arial"/>
      <w:i/>
      <w:iCs/>
      <w:color w:val="404040" w:themeColor="text1" w:themeTint="BF"/>
      <w:sz w:val="22"/>
      <w:lang w:val="en-GB"/>
    </w:rPr>
  </w:style>
  <w:style w:type="character" w:customStyle="1" w:styleId="Titre7Car">
    <w:name w:val="Titre 7 Car"/>
    <w:basedOn w:val="Policepardfaut"/>
    <w:link w:val="Titre7"/>
    <w:semiHidden/>
    <w:rsid w:val="00F218B4"/>
    <w:rPr>
      <w:rFonts w:asciiTheme="majorHAnsi" w:eastAsiaTheme="majorEastAsia" w:hAnsiTheme="majorHAnsi" w:cstheme="majorBidi"/>
      <w:i/>
      <w:iCs/>
      <w:color w:val="243F60" w:themeColor="accent1" w:themeShade="7F"/>
      <w:sz w:val="22"/>
      <w:lang w:val="en-GB"/>
    </w:rPr>
  </w:style>
  <w:style w:type="character" w:customStyle="1" w:styleId="Titre8Car">
    <w:name w:val="Titre 8 Car"/>
    <w:basedOn w:val="Policepardfaut"/>
    <w:link w:val="Titre8"/>
    <w:semiHidden/>
    <w:rsid w:val="00F218B4"/>
    <w:rPr>
      <w:rFonts w:asciiTheme="majorHAnsi" w:eastAsiaTheme="majorEastAsia" w:hAnsiTheme="majorHAnsi" w:cstheme="majorBidi"/>
      <w:color w:val="272727" w:themeColor="text1" w:themeTint="D8"/>
      <w:sz w:val="21"/>
      <w:szCs w:val="21"/>
      <w:lang w:val="en-GB"/>
    </w:rPr>
  </w:style>
  <w:style w:type="character" w:customStyle="1" w:styleId="Titre9Car">
    <w:name w:val="Titre 9 Car"/>
    <w:basedOn w:val="Policepardfaut"/>
    <w:link w:val="Titre9"/>
    <w:semiHidden/>
    <w:rsid w:val="00F218B4"/>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4F1004-5136-4ECC-AEDC-76266765C1EF}">
  <ds:schemaRefs>
    <ds:schemaRef ds:uri="http://schemas.openxmlformats.org/officeDocument/2006/bibliography"/>
  </ds:schemaRefs>
</ds:datastoreItem>
</file>

<file path=customXml/itemProps3.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208</TotalTime>
  <Pages>2</Pages>
  <Words>558</Words>
  <Characters>3073</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38</cp:revision>
  <cp:lastPrinted>2016-05-03T09:51:00Z</cp:lastPrinted>
  <dcterms:created xsi:type="dcterms:W3CDTF">2020-08-17T15:39:00Z</dcterms:created>
  <dcterms:modified xsi:type="dcterms:W3CDTF">2023-11-07T22:52:00Z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